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C9445B37">
      <w:pPr>
        <w:jc w:val="center"/>
        <w:rPr>
          <w:rFonts w:ascii="宋体" w:hAnsi="宋体"/>
          <w:b/>
          <w:bCs/>
          <w:sz w:val="30"/>
          <w:szCs w:val="30"/>
        </w:rPr>
      </w:pPr>
      <w:r>
        <w:rPr>
          <w:rFonts w:hint="eastAsia" w:ascii="宋体" w:hAnsi="宋体"/>
          <w:b/>
          <w:bCs/>
          <w:sz w:val="30"/>
          <w:szCs w:val="30"/>
        </w:rPr>
        <w:t>衡东县柿欢食品有限公司生猪定点屠宰项目</w:t>
      </w:r>
    </w:p>
    <w:p w14:paraId="D864BE48">
      <w:pPr>
        <w:jc w:val="center"/>
        <w:rPr>
          <w:rFonts w:ascii="宋体" w:hAnsi="宋体"/>
          <w:b/>
          <w:bCs/>
          <w:sz w:val="30"/>
          <w:szCs w:val="30"/>
        </w:rPr>
      </w:pPr>
      <w:r>
        <w:rPr>
          <w:rFonts w:hint="eastAsia" w:ascii="宋体" w:hAnsi="宋体"/>
          <w:b/>
          <w:bCs/>
          <w:sz w:val="30"/>
          <w:szCs w:val="30"/>
        </w:rPr>
        <w:t>竣工环境保护验收综合意见</w:t>
      </w:r>
    </w:p>
    <w:p w14:paraId="ABE952E4">
      <w:pPr>
        <w:rPr>
          <w:rFonts w:ascii="宋体" w:hAnsi="宋体"/>
          <w:sz w:val="24"/>
          <w:szCs w:val="24"/>
        </w:rPr>
      </w:pPr>
    </w:p>
    <w:p w14:paraId="E7A12EAD">
      <w:pPr>
        <w:spacing w:line="360" w:lineRule="auto"/>
        <w:ind w:firstLine="480" w:firstLineChars="200"/>
        <w:rPr>
          <w:rFonts w:ascii="宋体" w:hAnsi="宋体"/>
          <w:sz w:val="24"/>
          <w:szCs w:val="24"/>
        </w:rPr>
      </w:pPr>
      <w:r>
        <w:rPr>
          <w:rFonts w:hint="eastAsia" w:ascii="宋体" w:hAnsi="宋体"/>
          <w:sz w:val="24"/>
          <w:szCs w:val="24"/>
        </w:rPr>
        <w:t>2025年7月19日，衡东县柿欢食品有限公司主持召开了《衡东县柿欢食品有限公司生猪定点屠宰项目》竣工环境保护验收会。参加会议的有竣工验收报告编制单位衡阳市蓝天环保科技有限公司等，会议另邀请了3位专家共同组成竣工验收组（名单附后）。会前，验收组察看了项目现场；会上，建设单位介绍了项目建设情况和污染防治措施落实情况以及环境管理情况；竣工验收报告编制单位介绍了竣工验收报告的主要内容。根据《建设项目竣工环境保护验收暂行办法》《建设项目竣工环境保护验收技术指南 污染影响类》、项目环评报告及批复文件，经讨论，形成如下验收意见：</w:t>
      </w:r>
    </w:p>
    <w:p w14:paraId="8B30EAEF">
      <w:pPr>
        <w:spacing w:line="360" w:lineRule="auto"/>
        <w:ind w:firstLine="562" w:firstLineChars="200"/>
        <w:rPr>
          <w:rFonts w:ascii="宋体" w:hAnsi="宋体"/>
          <w:b/>
          <w:bCs/>
          <w:sz w:val="28"/>
          <w:szCs w:val="28"/>
        </w:rPr>
      </w:pPr>
      <w:r>
        <w:rPr>
          <w:rFonts w:hint="eastAsia" w:ascii="宋体" w:hAnsi="宋体"/>
          <w:b/>
          <w:bCs/>
          <w:sz w:val="28"/>
          <w:szCs w:val="28"/>
        </w:rPr>
        <w:t xml:space="preserve">一、工程建设基本情况  </w:t>
      </w:r>
    </w:p>
    <w:p w14:paraId="57777748">
      <w:pPr>
        <w:spacing w:line="360" w:lineRule="auto"/>
        <w:ind w:firstLine="480" w:firstLineChars="200"/>
        <w:rPr>
          <w:rFonts w:ascii="宋体" w:hAnsi="宋体"/>
          <w:sz w:val="24"/>
          <w:szCs w:val="24"/>
        </w:rPr>
      </w:pPr>
      <w:r>
        <w:rPr>
          <w:rFonts w:hint="eastAsia" w:ascii="宋体" w:hAnsi="宋体"/>
          <w:sz w:val="24"/>
          <w:szCs w:val="24"/>
        </w:rPr>
        <w:t xml:space="preserve">（一）建设地点、规模和主要建设内容  </w:t>
      </w:r>
    </w:p>
    <w:p w14:paraId="8C7DEBD7">
      <w:pPr>
        <w:spacing w:line="360" w:lineRule="auto"/>
        <w:ind w:firstLine="480" w:firstLineChars="200"/>
        <w:rPr>
          <w:rFonts w:ascii="宋体" w:hAnsi="宋体"/>
          <w:sz w:val="24"/>
          <w:szCs w:val="24"/>
        </w:rPr>
      </w:pPr>
      <w:r>
        <w:rPr>
          <w:rFonts w:hint="eastAsia" w:ascii="宋体" w:hAnsi="宋体"/>
          <w:sz w:val="24"/>
          <w:szCs w:val="24"/>
        </w:rPr>
        <w:t xml:space="preserve">本项目位于湖南省衡东县荣桓镇长岭社区17组，总投资300万元，环保投资10万元，占比3.33%。项目年屠宰生猪1万头，总占地面积2400㎡，总建筑面积370㎡。主要建设内容包括待宰圈、屠宰车间、办公用房及配套公用工程、环保工程等。  </w:t>
      </w:r>
    </w:p>
    <w:p w14:paraId="A404391C">
      <w:pPr>
        <w:spacing w:line="360" w:lineRule="auto"/>
        <w:ind w:firstLine="480" w:firstLineChars="200"/>
        <w:rPr>
          <w:rFonts w:ascii="宋体" w:hAnsi="宋体"/>
          <w:sz w:val="24"/>
          <w:szCs w:val="24"/>
        </w:rPr>
      </w:pPr>
      <w:r>
        <w:rPr>
          <w:rFonts w:hint="eastAsia" w:ascii="宋体" w:hAnsi="宋体"/>
          <w:sz w:val="24"/>
          <w:szCs w:val="24"/>
        </w:rPr>
        <w:t xml:space="preserve">（二）环保审批情况及建设过程  </w:t>
      </w:r>
    </w:p>
    <w:p w14:paraId="0C214B05">
      <w:pPr>
        <w:spacing w:line="360" w:lineRule="auto"/>
        <w:ind w:firstLine="480" w:firstLineChars="200"/>
        <w:rPr>
          <w:rFonts w:ascii="宋体" w:hAnsi="宋体"/>
          <w:sz w:val="24"/>
          <w:szCs w:val="24"/>
        </w:rPr>
      </w:pPr>
      <w:r>
        <w:rPr>
          <w:rFonts w:hint="eastAsia" w:ascii="宋体" w:hAnsi="宋体"/>
          <w:sz w:val="24"/>
          <w:szCs w:val="24"/>
        </w:rPr>
        <w:t xml:space="preserve">项目于2023年6月由衡阳市宇创工程咨询有限公司编制完成《环境影响报告表》，2023年8月9日取得衡阳市生态环境局衡东分局批复（东环评〔2023〕15号）。2023年8月开工建设，2024年9月建成并投入试运行；2024年4月1日取得排污登记回执，登记回执编号为91430424MAC4BAHB82001Y；2025年7月10日～11日完成竣工环保验收监测。  </w:t>
      </w:r>
    </w:p>
    <w:p w14:paraId="517D3892">
      <w:pPr>
        <w:spacing w:line="360" w:lineRule="auto"/>
        <w:ind w:firstLine="480" w:firstLineChars="200"/>
        <w:rPr>
          <w:rFonts w:ascii="宋体" w:hAnsi="宋体"/>
          <w:sz w:val="24"/>
          <w:szCs w:val="24"/>
        </w:rPr>
      </w:pPr>
      <w:r>
        <w:rPr>
          <w:rFonts w:hint="eastAsia" w:ascii="宋体" w:hAnsi="宋体"/>
          <w:sz w:val="24"/>
          <w:szCs w:val="24"/>
        </w:rPr>
        <w:t xml:space="preserve">（三）投资情况  </w:t>
      </w:r>
    </w:p>
    <w:p w14:paraId="1A98A5D1">
      <w:pPr>
        <w:spacing w:line="360" w:lineRule="auto"/>
        <w:ind w:firstLine="480" w:firstLineChars="200"/>
        <w:rPr>
          <w:rFonts w:ascii="宋体" w:hAnsi="宋体"/>
          <w:sz w:val="24"/>
          <w:szCs w:val="24"/>
        </w:rPr>
      </w:pPr>
      <w:r>
        <w:rPr>
          <w:rFonts w:hint="eastAsia" w:ascii="宋体" w:hAnsi="宋体"/>
          <w:sz w:val="24"/>
          <w:szCs w:val="24"/>
        </w:rPr>
        <w:t xml:space="preserve">实际总投资300万元，其中环保投资10万元。  </w:t>
      </w:r>
    </w:p>
    <w:p w14:paraId="DE03CC77">
      <w:pPr>
        <w:spacing w:line="360" w:lineRule="auto"/>
        <w:ind w:firstLine="480" w:firstLineChars="200"/>
        <w:rPr>
          <w:rFonts w:ascii="宋体" w:hAnsi="宋体"/>
          <w:sz w:val="24"/>
          <w:szCs w:val="24"/>
        </w:rPr>
      </w:pPr>
      <w:r>
        <w:rPr>
          <w:rFonts w:hint="eastAsia" w:ascii="宋体" w:hAnsi="宋体"/>
          <w:sz w:val="24"/>
          <w:szCs w:val="24"/>
        </w:rPr>
        <w:t xml:space="preserve">（四）验收范围  </w:t>
      </w:r>
    </w:p>
    <w:p w14:paraId="A2AD0434">
      <w:pPr>
        <w:spacing w:line="360" w:lineRule="auto"/>
        <w:ind w:firstLine="480" w:firstLineChars="200"/>
        <w:rPr>
          <w:rFonts w:ascii="宋体" w:hAnsi="宋体"/>
          <w:sz w:val="24"/>
          <w:szCs w:val="24"/>
        </w:rPr>
      </w:pPr>
      <w:r>
        <w:rPr>
          <w:rFonts w:hint="eastAsia" w:ascii="宋体" w:hAnsi="宋体"/>
          <w:sz w:val="24"/>
          <w:szCs w:val="24"/>
        </w:rPr>
        <w:t>本次验收范围为环评批复中确定的全部工程内容，包括主体工程、环保设施及配套工程。</w:t>
      </w:r>
    </w:p>
    <w:p w14:paraId="2047F738">
      <w:pPr>
        <w:spacing w:line="360" w:lineRule="auto"/>
        <w:ind w:firstLine="562" w:firstLineChars="200"/>
        <w:rPr>
          <w:rFonts w:ascii="宋体" w:hAnsi="宋体"/>
          <w:b/>
          <w:bCs/>
          <w:sz w:val="28"/>
          <w:szCs w:val="28"/>
        </w:rPr>
      </w:pPr>
      <w:r>
        <w:rPr>
          <w:rFonts w:hint="eastAsia" w:ascii="宋体" w:hAnsi="宋体"/>
          <w:b/>
          <w:bCs/>
          <w:sz w:val="28"/>
          <w:szCs w:val="28"/>
        </w:rPr>
        <w:t xml:space="preserve"> 二、工程变动情况  </w:t>
      </w:r>
    </w:p>
    <w:p w14:paraId="2FAF42CC">
      <w:pPr>
        <w:spacing w:line="360" w:lineRule="auto"/>
        <w:ind w:firstLine="480" w:firstLineChars="200"/>
        <w:rPr>
          <w:rFonts w:ascii="宋体" w:hAnsi="宋体"/>
          <w:sz w:val="24"/>
          <w:szCs w:val="24"/>
        </w:rPr>
      </w:pPr>
      <w:r>
        <w:rPr>
          <w:rFonts w:hint="eastAsia" w:ascii="宋体" w:hAnsi="宋体"/>
          <w:sz w:val="24"/>
          <w:szCs w:val="24"/>
        </w:rPr>
        <w:t xml:space="preserve">对照环评报告、环评批复文件和实际建设情况，主要变动如下：  </w:t>
      </w:r>
    </w:p>
    <w:p w14:paraId="39B13F18">
      <w:pPr>
        <w:spacing w:line="360" w:lineRule="auto"/>
        <w:ind w:firstLine="480" w:firstLineChars="200"/>
        <w:rPr>
          <w:rFonts w:ascii="宋体" w:hAnsi="宋体" w:eastAsia="宋体"/>
          <w:sz w:val="24"/>
          <w:szCs w:val="24"/>
        </w:rPr>
      </w:pPr>
      <w:r>
        <w:rPr>
          <w:rFonts w:hint="eastAsia" w:ascii="宋体" w:hAnsi="宋体"/>
          <w:sz w:val="24"/>
          <w:szCs w:val="24"/>
        </w:rPr>
        <w:t>1. 废水去向调整：环评</w:t>
      </w:r>
      <w:r>
        <w:rPr>
          <w:rFonts w:hint="eastAsia" w:ascii="宋体" w:hAnsi="宋体" w:eastAsia="宋体"/>
          <w:sz w:val="24"/>
          <w:szCs w:val="24"/>
        </w:rPr>
        <w:t>要求屠宰废水经格栅+隔油池+沉淀池（50m</w:t>
      </w:r>
      <w:r>
        <w:rPr>
          <w:rFonts w:hint="eastAsia" w:ascii="宋体" w:hAnsi="宋体" w:eastAsia="宋体"/>
          <w:sz w:val="24"/>
          <w:szCs w:val="24"/>
          <w:vertAlign w:val="superscript"/>
        </w:rPr>
        <w:t>3</w:t>
      </w:r>
      <w:r>
        <w:rPr>
          <w:rFonts w:hint="eastAsia" w:ascii="宋体" w:hAnsi="宋体" w:eastAsia="宋体"/>
          <w:sz w:val="24"/>
          <w:szCs w:val="24"/>
        </w:rPr>
        <w:t>）预处理后用作农肥，</w:t>
      </w:r>
      <w:r>
        <w:rPr>
          <w:rFonts w:hint="eastAsia" w:ascii="宋体" w:hAnsi="宋体" w:eastAsia="宋体" w:cs="仿宋"/>
          <w:sz w:val="24"/>
          <w:szCs w:val="24"/>
        </w:rPr>
        <w:t>生活污水经化粪池（5m³）预处理后用作农肥；</w:t>
      </w:r>
      <w:r>
        <w:rPr>
          <w:rFonts w:hint="eastAsia" w:ascii="宋体" w:hAnsi="宋体" w:eastAsia="宋体"/>
          <w:sz w:val="24"/>
          <w:szCs w:val="24"/>
        </w:rPr>
        <w:t>实际屠宰废水经格栅+隔油池+沉淀池（50m</w:t>
      </w:r>
      <w:r>
        <w:rPr>
          <w:rFonts w:hint="eastAsia" w:ascii="宋体" w:hAnsi="宋体" w:eastAsia="宋体"/>
          <w:sz w:val="24"/>
          <w:szCs w:val="24"/>
          <w:vertAlign w:val="superscript"/>
        </w:rPr>
        <w:t>3</w:t>
      </w:r>
      <w:r>
        <w:rPr>
          <w:rFonts w:hint="eastAsia" w:ascii="宋体" w:hAnsi="宋体" w:eastAsia="宋体"/>
          <w:sz w:val="24"/>
          <w:szCs w:val="24"/>
        </w:rPr>
        <w:t>）预处理后交由衡东元富农林综合开发有限公司综合利用，</w:t>
      </w:r>
      <w:r>
        <w:rPr>
          <w:rFonts w:hint="eastAsia" w:ascii="宋体" w:hAnsi="宋体" w:eastAsia="宋体" w:cs="仿宋"/>
          <w:sz w:val="24"/>
          <w:szCs w:val="24"/>
        </w:rPr>
        <w:t>生活污水经化粪池（5m³）预处理后交由衡东元富农林综合开发有限公司综合利用，均</w:t>
      </w:r>
      <w:r>
        <w:rPr>
          <w:rFonts w:hint="eastAsia" w:ascii="宋体" w:hAnsi="宋体" w:eastAsia="宋体"/>
          <w:sz w:val="24"/>
          <w:szCs w:val="24"/>
        </w:rPr>
        <w:t xml:space="preserve">不外排。  </w:t>
      </w:r>
    </w:p>
    <w:p w14:paraId="F8845049">
      <w:pPr>
        <w:spacing w:line="360" w:lineRule="auto"/>
        <w:ind w:firstLine="480" w:firstLineChars="200"/>
        <w:rPr>
          <w:rFonts w:ascii="宋体" w:hAnsi="宋体"/>
          <w:sz w:val="24"/>
          <w:szCs w:val="24"/>
        </w:rPr>
      </w:pPr>
      <w:r>
        <w:rPr>
          <w:rFonts w:hint="eastAsia" w:ascii="宋体" w:hAnsi="宋体"/>
          <w:sz w:val="24"/>
          <w:szCs w:val="24"/>
        </w:rPr>
        <w:t xml:space="preserve">2. 设备数量微调：冷柜数量由环评设计2台减少为1台，增加了周转，不影响屠宰规模。  </w:t>
      </w:r>
    </w:p>
    <w:p w14:paraId="C34ACE7E">
      <w:pPr>
        <w:spacing w:line="360" w:lineRule="auto"/>
        <w:ind w:firstLine="480" w:firstLineChars="200"/>
        <w:rPr>
          <w:rFonts w:ascii="宋体" w:hAnsi="宋体"/>
          <w:sz w:val="24"/>
          <w:szCs w:val="24"/>
        </w:rPr>
      </w:pPr>
      <w:r>
        <w:rPr>
          <w:rFonts w:hint="eastAsia" w:ascii="宋体" w:hAnsi="宋体"/>
          <w:sz w:val="24"/>
          <w:szCs w:val="24"/>
        </w:rPr>
        <w:t>对照《关于印发&lt;污染影响类建设项目重大变动清单（试行）&gt;的通知》（环办环评函〔2020〕688号），上述变动不属于重大变动。</w:t>
      </w:r>
    </w:p>
    <w:p w14:paraId="705E601E">
      <w:pPr>
        <w:spacing w:line="360" w:lineRule="auto"/>
        <w:ind w:firstLine="562" w:firstLineChars="200"/>
        <w:rPr>
          <w:rFonts w:ascii="宋体" w:hAnsi="宋体"/>
          <w:b/>
          <w:bCs/>
          <w:sz w:val="28"/>
          <w:szCs w:val="28"/>
        </w:rPr>
      </w:pPr>
      <w:r>
        <w:rPr>
          <w:rFonts w:hint="eastAsia" w:ascii="宋体" w:hAnsi="宋体"/>
          <w:b/>
          <w:bCs/>
          <w:sz w:val="28"/>
          <w:szCs w:val="28"/>
        </w:rPr>
        <w:t xml:space="preserve">三、污染防治设施建设情况  </w:t>
      </w:r>
    </w:p>
    <w:p w14:paraId="BDF9618A">
      <w:pPr>
        <w:spacing w:line="360" w:lineRule="auto"/>
        <w:ind w:firstLine="480" w:firstLineChars="200"/>
        <w:rPr>
          <w:rFonts w:ascii="宋体" w:hAnsi="宋体"/>
          <w:sz w:val="24"/>
          <w:szCs w:val="24"/>
        </w:rPr>
      </w:pPr>
      <w:r>
        <w:rPr>
          <w:rFonts w:hint="eastAsia" w:ascii="宋体" w:hAnsi="宋体"/>
          <w:sz w:val="24"/>
          <w:szCs w:val="24"/>
        </w:rPr>
        <w:t xml:space="preserve">1. 废水：建设50m³/d地埋式污水处理设施（格栅+隔油池+沉淀池），屠宰废水和生活污水经处理后交由衡东元富农林综合开发有限公司综合利用，无外排。  </w:t>
      </w:r>
    </w:p>
    <w:p w14:paraId="5F6CA06B">
      <w:pPr>
        <w:spacing w:line="360" w:lineRule="auto"/>
        <w:ind w:firstLine="480" w:firstLineChars="200"/>
        <w:rPr>
          <w:rFonts w:ascii="宋体" w:hAnsi="宋体"/>
          <w:sz w:val="24"/>
          <w:szCs w:val="24"/>
        </w:rPr>
      </w:pPr>
      <w:r>
        <w:rPr>
          <w:rFonts w:hint="eastAsia" w:ascii="宋体" w:hAnsi="宋体"/>
          <w:sz w:val="24"/>
          <w:szCs w:val="24"/>
        </w:rPr>
        <w:t xml:space="preserve">2. 废气：待宰圈、屠宰车间、污水处理设施、固废暂存间等采取封闭、通风、喷洒生物除臭剂等措施，恶臭排放符合《恶臭污染物排放标准》（GB 1455493）。  </w:t>
      </w:r>
    </w:p>
    <w:p w14:paraId="DC7B84A7">
      <w:pPr>
        <w:spacing w:line="360" w:lineRule="auto"/>
        <w:ind w:firstLine="480" w:firstLineChars="200"/>
        <w:rPr>
          <w:rFonts w:ascii="宋体" w:hAnsi="宋体"/>
          <w:sz w:val="24"/>
          <w:szCs w:val="24"/>
        </w:rPr>
      </w:pPr>
      <w:r>
        <w:rPr>
          <w:rFonts w:hint="eastAsia" w:ascii="宋体" w:hAnsi="宋体"/>
          <w:sz w:val="24"/>
          <w:szCs w:val="24"/>
        </w:rPr>
        <w:t xml:space="preserve">3. 噪声：选用低噪声设备，采取隔声、减震、合理布局等措施，厂界噪声达标。  </w:t>
      </w:r>
    </w:p>
    <w:p w14:paraId="0F282C3B">
      <w:pPr>
        <w:spacing w:line="360" w:lineRule="auto"/>
        <w:ind w:firstLine="480" w:firstLineChars="200"/>
        <w:rPr>
          <w:rFonts w:ascii="宋体" w:hAnsi="宋体"/>
          <w:sz w:val="24"/>
          <w:szCs w:val="24"/>
        </w:rPr>
      </w:pPr>
      <w:r>
        <w:rPr>
          <w:rFonts w:hint="eastAsia" w:ascii="宋体" w:hAnsi="宋体"/>
          <w:sz w:val="24"/>
          <w:szCs w:val="24"/>
        </w:rPr>
        <w:t>4. 固废：猪粪、肠胃内容物综合利用；猪毛暂存于固废暂存间收集后外售做猪毛制品</w:t>
      </w:r>
      <w:r>
        <w:rPr>
          <w:rFonts w:hint="eastAsia" w:ascii="宋体" w:hAnsi="宋体"/>
          <w:sz w:val="24"/>
          <w:szCs w:val="24"/>
          <w:lang w:eastAsia="zh-CN"/>
        </w:rPr>
        <w:t>，</w:t>
      </w:r>
      <w:r>
        <w:rPr>
          <w:rFonts w:hint="eastAsia" w:ascii="宋体" w:hAnsi="宋体"/>
          <w:sz w:val="24"/>
          <w:szCs w:val="24"/>
        </w:rPr>
        <w:t xml:space="preserve">格栅渣、生活垃圾由环卫部门清运；病死猪/病胴体、猪三腺废物暂存冷冻柜后交衡东县恒益生物科技有限公司无害化处置。  </w:t>
      </w:r>
    </w:p>
    <w:p w14:paraId="1D4C4C7B">
      <w:pPr>
        <w:spacing w:line="360" w:lineRule="auto"/>
        <w:ind w:firstLine="480" w:firstLineChars="200"/>
        <w:rPr>
          <w:rFonts w:ascii="宋体" w:hAnsi="宋体"/>
          <w:sz w:val="24"/>
          <w:szCs w:val="24"/>
        </w:rPr>
      </w:pPr>
      <w:r>
        <w:rPr>
          <w:rFonts w:hint="eastAsia" w:ascii="宋体" w:hAnsi="宋体"/>
          <w:sz w:val="24"/>
          <w:szCs w:val="24"/>
        </w:rPr>
        <w:t xml:space="preserve">5. 环境管理制度：正在成立专门环保部门，制定环保责任制度和台账管理制度。  </w:t>
      </w:r>
    </w:p>
    <w:p w14:paraId="B6F82C96">
      <w:pPr>
        <w:spacing w:line="360" w:lineRule="auto"/>
        <w:ind w:firstLine="480" w:firstLineChars="200"/>
        <w:rPr>
          <w:rFonts w:ascii="宋体" w:hAnsi="宋体"/>
          <w:sz w:val="24"/>
          <w:szCs w:val="24"/>
        </w:rPr>
      </w:pPr>
      <w:r>
        <w:rPr>
          <w:rFonts w:hint="eastAsia" w:ascii="宋体" w:hAnsi="宋体"/>
          <w:sz w:val="24"/>
          <w:szCs w:val="24"/>
        </w:rPr>
        <w:t>6. 应急预案：公司于2025年7月10日已提交企业事业单位突发环境事件应急预案豁免管理申请表，并在衡阳市生态环境局衡东分进行备案。</w:t>
      </w:r>
    </w:p>
    <w:p w14:paraId="DE2B35A4">
      <w:pPr>
        <w:spacing w:line="360" w:lineRule="auto"/>
        <w:ind w:firstLine="562" w:firstLineChars="200"/>
        <w:rPr>
          <w:rFonts w:ascii="宋体" w:hAnsi="宋体"/>
          <w:b/>
          <w:bCs/>
          <w:sz w:val="28"/>
          <w:szCs w:val="28"/>
        </w:rPr>
      </w:pPr>
      <w:r>
        <w:rPr>
          <w:rFonts w:hint="eastAsia" w:ascii="宋体" w:hAnsi="宋体"/>
          <w:b/>
          <w:bCs/>
          <w:sz w:val="28"/>
          <w:szCs w:val="28"/>
        </w:rPr>
        <w:t xml:space="preserve">四、验收监测情况  </w:t>
      </w:r>
    </w:p>
    <w:p w14:paraId="91DCC851">
      <w:pPr>
        <w:spacing w:line="360" w:lineRule="auto"/>
        <w:ind w:firstLine="480" w:firstLineChars="200"/>
        <w:rPr>
          <w:rFonts w:ascii="宋体" w:hAnsi="宋体"/>
          <w:sz w:val="24"/>
          <w:szCs w:val="24"/>
        </w:rPr>
      </w:pPr>
      <w:r>
        <w:rPr>
          <w:rFonts w:hint="eastAsia" w:ascii="宋体" w:hAnsi="宋体"/>
          <w:sz w:val="24"/>
          <w:szCs w:val="24"/>
        </w:rPr>
        <w:t xml:space="preserve">湖南谱实检测技术有限公司于2025年7月10-11日开展验收监测，监测期间工况负荷为92.8%，符合验收条件。  </w:t>
      </w:r>
    </w:p>
    <w:p w14:paraId="A8790D16">
      <w:pPr>
        <w:spacing w:line="360" w:lineRule="auto"/>
        <w:ind w:firstLine="480" w:firstLineChars="200"/>
        <w:rPr>
          <w:rFonts w:ascii="宋体" w:hAnsi="宋体"/>
          <w:sz w:val="24"/>
          <w:szCs w:val="24"/>
        </w:rPr>
      </w:pPr>
      <w:r>
        <w:rPr>
          <w:rFonts w:hint="eastAsia" w:ascii="宋体" w:hAnsi="宋体"/>
          <w:sz w:val="24"/>
          <w:szCs w:val="24"/>
        </w:rPr>
        <w:t xml:space="preserve">1. 废水：无外排，未监测。  </w:t>
      </w:r>
    </w:p>
    <w:p w14:paraId="076AC992">
      <w:pPr>
        <w:spacing w:line="360" w:lineRule="auto"/>
        <w:ind w:firstLine="480" w:firstLineChars="200"/>
        <w:rPr>
          <w:rFonts w:hint="eastAsia" w:ascii="宋体" w:hAnsi="宋体"/>
          <w:sz w:val="24"/>
          <w:szCs w:val="24"/>
        </w:rPr>
        <w:sectPr>
          <w:pgSz w:w="11906" w:h="16838"/>
          <w:pgMar w:top="1440" w:right="1800" w:bottom="1440" w:left="1800" w:header="851" w:footer="992" w:gutter="0"/>
          <w:cols w:space="425" w:num="1"/>
          <w:docGrid w:type="lines" w:linePitch="312" w:charSpace="0"/>
        </w:sectPr>
      </w:pPr>
      <w:r>
        <w:rPr>
          <w:rFonts w:hint="eastAsia" w:ascii="宋体" w:hAnsi="宋体"/>
          <w:sz w:val="24"/>
          <w:szCs w:val="24"/>
        </w:rPr>
        <w:t>2. 废气：验收监测期间间，厂界无组织排放的氨、硫化氢、臭气浓度均符</w:t>
      </w:r>
    </w:p>
    <w:p w14:paraId="E0CF7268">
      <w:pPr>
        <w:spacing w:line="360" w:lineRule="auto"/>
        <w:ind w:firstLine="480" w:firstLineChars="200"/>
        <w:rPr>
          <w:rFonts w:ascii="宋体" w:hAnsi="宋体"/>
          <w:sz w:val="24"/>
          <w:szCs w:val="24"/>
        </w:rPr>
      </w:pPr>
      <w:r>
        <w:rPr>
          <w:rFonts w:hint="eastAsia" w:ascii="宋体" w:hAnsi="宋体"/>
          <w:sz w:val="24"/>
          <w:szCs w:val="24"/>
        </w:rPr>
        <w:t>合《恶臭污染物排放标准》（GB14554</w:t>
      </w:r>
      <w:r>
        <w:rPr>
          <w:rFonts w:ascii="宋体" w:hAnsi="宋体"/>
          <w:sz w:val="24"/>
          <w:szCs w:val="24"/>
        </w:rPr>
        <w:t>-1993</w:t>
      </w:r>
      <w:r>
        <w:rPr>
          <w:rFonts w:hint="eastAsia" w:ascii="宋体" w:hAnsi="宋体"/>
          <w:sz w:val="24"/>
          <w:szCs w:val="24"/>
        </w:rPr>
        <w:t xml:space="preserve">）限值。  </w:t>
      </w:r>
    </w:p>
    <w:p w14:paraId="D061B7DD">
      <w:pPr>
        <w:spacing w:line="360" w:lineRule="auto"/>
        <w:ind w:firstLine="480" w:firstLineChars="200"/>
        <w:rPr>
          <w:rFonts w:ascii="宋体" w:hAnsi="宋体"/>
          <w:sz w:val="24"/>
          <w:szCs w:val="24"/>
        </w:rPr>
      </w:pPr>
      <w:r>
        <w:rPr>
          <w:rFonts w:hint="eastAsia" w:ascii="宋体" w:hAnsi="宋体"/>
          <w:sz w:val="24"/>
          <w:szCs w:val="24"/>
        </w:rPr>
        <w:t xml:space="preserve">3. 噪声：验收监测期间间，厂界东、南、西、北侧昼夜间噪声均满足《工业企业厂界环境噪声排放标准》（GB 12348-2008）2类。  </w:t>
      </w:r>
    </w:p>
    <w:p w14:paraId="3B465924">
      <w:pPr>
        <w:spacing w:line="360" w:lineRule="auto"/>
        <w:ind w:firstLine="480" w:firstLineChars="200"/>
        <w:rPr>
          <w:rFonts w:ascii="宋体" w:hAnsi="宋体"/>
          <w:sz w:val="24"/>
          <w:szCs w:val="24"/>
        </w:rPr>
      </w:pPr>
      <w:r>
        <w:rPr>
          <w:rFonts w:hint="eastAsia" w:ascii="宋体" w:hAnsi="宋体"/>
          <w:sz w:val="24"/>
          <w:szCs w:val="24"/>
        </w:rPr>
        <w:t>4. 固体废物：验收监测期间，项目所产生的猪三腺废物、病死猪/病胴体等暂存于冷冻柜，待积存一定数量后交由衡东县恒益生物科技有限公司进行处置。其余一般工业固废，如猪粪、肠胃内容物均交由衡东元富农林综合开发有限公司综合利用；猪毛暂存于固废暂存间收集后外售做猪毛制品，格栅渣及生活垃圾均交由环卫部门定期清运，日产日清，分类贮存、处置规范。</w:t>
      </w:r>
    </w:p>
    <w:p w14:paraId="A27BC8F5">
      <w:pPr>
        <w:spacing w:line="360" w:lineRule="auto"/>
        <w:ind w:firstLine="562" w:firstLineChars="200"/>
        <w:rPr>
          <w:rFonts w:ascii="宋体" w:hAnsi="宋体"/>
          <w:b/>
          <w:bCs/>
          <w:sz w:val="28"/>
          <w:szCs w:val="28"/>
        </w:rPr>
      </w:pPr>
      <w:r>
        <w:rPr>
          <w:rFonts w:hint="eastAsia" w:ascii="宋体" w:hAnsi="宋体"/>
          <w:b/>
          <w:bCs/>
          <w:sz w:val="28"/>
          <w:szCs w:val="28"/>
        </w:rPr>
        <w:t xml:space="preserve">五、验收结论  </w:t>
      </w:r>
    </w:p>
    <w:p w14:paraId="A858C332">
      <w:pPr>
        <w:spacing w:line="360" w:lineRule="auto"/>
        <w:ind w:firstLine="480" w:firstLineChars="200"/>
        <w:rPr>
          <w:rFonts w:ascii="宋体" w:hAnsi="宋体"/>
          <w:sz w:val="24"/>
          <w:szCs w:val="24"/>
        </w:rPr>
      </w:pPr>
      <w:r>
        <w:rPr>
          <w:rFonts w:hint="eastAsia" w:ascii="宋体" w:hAnsi="宋体" w:eastAsia="宋体" w:cs="Times New Roman"/>
          <w:sz w:val="24"/>
          <w:szCs w:val="24"/>
        </w:rPr>
        <w:t>验收专家组通过审阅验收监测报告，查看项目现场环保措施落实情况，并经过充分讨论，一致认为项目建设前期环境保护审查、审批手续完备，污染防治设施基本落实，具备环保设施竣工验收条件，验收组经过讨论，认为基本符合环保设施竣工验收要求，原则同意通过竣工环保验收。</w:t>
      </w:r>
    </w:p>
    <w:p w14:paraId="F332D410">
      <w:pPr>
        <w:spacing w:line="360" w:lineRule="auto"/>
        <w:ind w:firstLine="562" w:firstLineChars="200"/>
        <w:rPr>
          <w:rFonts w:ascii="宋体" w:hAnsi="宋体"/>
          <w:b/>
          <w:bCs/>
          <w:sz w:val="28"/>
          <w:szCs w:val="28"/>
        </w:rPr>
      </w:pPr>
      <w:r>
        <w:rPr>
          <w:rFonts w:hint="eastAsia" w:ascii="宋体" w:hAnsi="宋体"/>
          <w:b/>
          <w:bCs/>
          <w:sz w:val="28"/>
          <w:szCs w:val="28"/>
        </w:rPr>
        <w:t xml:space="preserve">六、报告修改意见  </w:t>
      </w:r>
    </w:p>
    <w:p w14:paraId="42AFE466">
      <w:pPr>
        <w:spacing w:line="312" w:lineRule="auto"/>
        <w:ind w:firstLine="480" w:firstLineChars="200"/>
        <w:rPr>
          <w:rFonts w:ascii="宋体" w:hAnsi="宋体"/>
          <w:sz w:val="24"/>
          <w:szCs w:val="24"/>
        </w:rPr>
      </w:pPr>
      <w:r>
        <w:rPr>
          <w:rFonts w:hint="eastAsia" w:ascii="宋体" w:hAnsi="宋体"/>
          <w:sz w:val="24"/>
          <w:szCs w:val="24"/>
        </w:rPr>
        <w:t xml:space="preserve">1. </w:t>
      </w:r>
      <w:r>
        <w:rPr>
          <w:rFonts w:hint="eastAsia"/>
          <w:sz w:val="24"/>
          <w:szCs w:val="24"/>
        </w:rPr>
        <w:t>补充除臭剂等原辅材料名称及存用量；</w:t>
      </w:r>
      <w:r>
        <w:rPr>
          <w:rFonts w:hint="eastAsia" w:ascii="宋体" w:hAnsi="宋体"/>
          <w:sz w:val="24"/>
          <w:szCs w:val="24"/>
        </w:rPr>
        <w:t xml:space="preserve">  </w:t>
      </w:r>
    </w:p>
    <w:p w14:paraId="EC56B3D1">
      <w:pPr>
        <w:spacing w:line="360" w:lineRule="auto"/>
        <w:ind w:firstLine="480" w:firstLineChars="200"/>
        <w:rPr>
          <w:sz w:val="24"/>
          <w:szCs w:val="24"/>
        </w:rPr>
      </w:pPr>
      <w:r>
        <w:rPr>
          <w:rFonts w:hint="eastAsia" w:ascii="宋体" w:hAnsi="宋体"/>
          <w:sz w:val="24"/>
          <w:szCs w:val="24"/>
        </w:rPr>
        <w:t xml:space="preserve">2. </w:t>
      </w:r>
      <w:r>
        <w:rPr>
          <w:rFonts w:hint="eastAsia"/>
          <w:sz w:val="24"/>
          <w:szCs w:val="24"/>
        </w:rPr>
        <w:t>细化说明污水处理站主要构筑物的各容积参数；</w:t>
      </w:r>
    </w:p>
    <w:p w14:paraId="FDEC5349">
      <w:pPr>
        <w:spacing w:line="360" w:lineRule="auto"/>
        <w:ind w:firstLine="480" w:firstLineChars="200"/>
        <w:rPr>
          <w:rFonts w:ascii="宋体" w:hAnsi="宋体"/>
          <w:sz w:val="24"/>
          <w:szCs w:val="24"/>
        </w:rPr>
      </w:pPr>
      <w:r>
        <w:rPr>
          <w:rFonts w:hint="eastAsia"/>
          <w:sz w:val="24"/>
          <w:szCs w:val="24"/>
        </w:rPr>
        <w:t xml:space="preserve">3.  </w:t>
      </w:r>
      <w:r>
        <w:rPr>
          <w:rFonts w:hint="eastAsia" w:ascii="宋体" w:hAnsi="宋体"/>
          <w:sz w:val="24"/>
          <w:szCs w:val="24"/>
        </w:rPr>
        <w:t>核实项目各类固废产生量、处置措施及去向；核实猪毛等副产品的产生量、暂存位置、暂存时间和处理处置去向；细化固废暂存间、污水处理站的防渗措施及标识设置情况；</w:t>
      </w:r>
    </w:p>
    <w:p w14:paraId="C2E4B694">
      <w:pPr>
        <w:spacing w:line="360" w:lineRule="auto"/>
        <w:ind w:firstLine="480" w:firstLineChars="200"/>
        <w:rPr>
          <w:rFonts w:ascii="宋体" w:hAnsi="宋体"/>
          <w:sz w:val="24"/>
          <w:szCs w:val="24"/>
        </w:rPr>
      </w:pPr>
      <w:r>
        <w:rPr>
          <w:rFonts w:hint="eastAsia" w:ascii="宋体" w:hAnsi="宋体"/>
          <w:sz w:val="24"/>
          <w:szCs w:val="24"/>
        </w:rPr>
        <w:t>4. 完善“三同时”验收表，核实并补充工况证明，补充验收自评报告；</w:t>
      </w:r>
    </w:p>
    <w:p w14:paraId="9B961E77">
      <w:pPr>
        <w:spacing w:line="360" w:lineRule="auto"/>
        <w:ind w:firstLine="480" w:firstLineChars="200"/>
        <w:rPr>
          <w:rFonts w:ascii="宋体" w:hAnsi="宋体"/>
          <w:sz w:val="24"/>
          <w:szCs w:val="24"/>
        </w:rPr>
      </w:pPr>
      <w:r>
        <w:rPr>
          <w:rFonts w:hint="eastAsia" w:ascii="宋体" w:hAnsi="宋体"/>
          <w:sz w:val="24"/>
          <w:szCs w:val="24"/>
        </w:rPr>
        <w:t>5. 完善相关附图、照片和附件。</w:t>
      </w:r>
    </w:p>
    <w:p w14:paraId="A419040E">
      <w:pPr>
        <w:spacing w:line="360" w:lineRule="auto"/>
        <w:ind w:firstLine="562" w:firstLineChars="200"/>
        <w:rPr>
          <w:rFonts w:ascii="宋体" w:hAnsi="宋体"/>
          <w:b/>
          <w:bCs/>
          <w:sz w:val="28"/>
          <w:szCs w:val="28"/>
        </w:rPr>
      </w:pPr>
      <w:r>
        <w:rPr>
          <w:rFonts w:hint="eastAsia" w:ascii="宋体" w:hAnsi="宋体"/>
          <w:b/>
          <w:bCs/>
          <w:sz w:val="28"/>
          <w:szCs w:val="28"/>
        </w:rPr>
        <w:t xml:space="preserve">七、对建设方的要求与建议  </w:t>
      </w:r>
    </w:p>
    <w:p w14:paraId="53B9F769">
      <w:pPr>
        <w:spacing w:line="360" w:lineRule="auto"/>
        <w:ind w:firstLine="480" w:firstLineChars="200"/>
        <w:rPr>
          <w:rFonts w:ascii="宋体" w:hAnsi="宋体"/>
          <w:sz w:val="24"/>
          <w:szCs w:val="24"/>
        </w:rPr>
      </w:pPr>
      <w:r>
        <w:rPr>
          <w:rFonts w:hint="eastAsia" w:ascii="宋体" w:hAnsi="宋体"/>
          <w:sz w:val="24"/>
          <w:szCs w:val="24"/>
        </w:rPr>
        <w:t xml:space="preserve">1. 强化环境管理，完善环保责任制度和台账管理，定期开展环保培训； </w:t>
      </w:r>
    </w:p>
    <w:p w14:paraId="D12289C1">
      <w:pPr>
        <w:spacing w:line="360" w:lineRule="auto"/>
        <w:ind w:firstLine="480" w:firstLineChars="200"/>
        <w:rPr>
          <w:rFonts w:ascii="宋体" w:hAnsi="宋体"/>
          <w:sz w:val="24"/>
          <w:szCs w:val="24"/>
        </w:rPr>
      </w:pPr>
      <w:r>
        <w:rPr>
          <w:rFonts w:hint="eastAsia" w:ascii="宋体" w:hAnsi="宋体"/>
          <w:sz w:val="24"/>
          <w:szCs w:val="24"/>
        </w:rPr>
        <w:t>2. 加强除臭系统的日常维护，确保稳定运行。</w:t>
      </w:r>
    </w:p>
    <w:p w14:paraId="26679F50">
      <w:pPr>
        <w:spacing w:line="360" w:lineRule="auto"/>
        <w:ind w:firstLine="480" w:firstLineChars="200"/>
        <w:rPr>
          <w:rFonts w:ascii="宋体" w:hAnsi="宋体"/>
          <w:sz w:val="24"/>
          <w:szCs w:val="24"/>
        </w:rPr>
      </w:pPr>
    </w:p>
    <w:p w14:paraId="D2084CE7">
      <w:pPr>
        <w:spacing w:line="360" w:lineRule="auto"/>
        <w:ind w:right="840" w:firstLine="1446" w:firstLineChars="600"/>
        <w:rPr>
          <w:rFonts w:ascii="宋体" w:hAnsi="宋体"/>
          <w:b/>
          <w:bCs/>
          <w:sz w:val="24"/>
          <w:szCs w:val="24"/>
        </w:rPr>
      </w:pPr>
      <w:r>
        <w:rPr>
          <w:rFonts w:hint="eastAsia" w:ascii="宋体" w:hAnsi="宋体"/>
          <w:b/>
          <w:bCs/>
          <w:sz w:val="24"/>
          <w:szCs w:val="24"/>
        </w:rPr>
        <w:t>验收专家组成员：</w:t>
      </w:r>
    </w:p>
    <w:p w14:paraId="76FFF47F">
      <w:pPr>
        <w:spacing w:line="360" w:lineRule="auto"/>
        <w:jc w:val="right"/>
        <w:rPr>
          <w:rFonts w:ascii="宋体" w:hAnsi="宋体"/>
          <w:b/>
          <w:bCs/>
          <w:sz w:val="24"/>
          <w:szCs w:val="24"/>
        </w:rPr>
      </w:pPr>
      <w:r>
        <w:rPr>
          <w:rFonts w:hint="eastAsia" w:ascii="宋体" w:hAnsi="宋体"/>
          <w:b/>
          <w:bCs/>
          <w:sz w:val="24"/>
          <w:szCs w:val="24"/>
        </w:rPr>
        <w:t xml:space="preserve">邓景衡（组长）、周耀辉、李大军（执笔）  </w:t>
      </w:r>
    </w:p>
    <w:p w14:paraId="0A681BA6">
      <w:pPr>
        <w:spacing w:line="360" w:lineRule="auto"/>
        <w:jc w:val="right"/>
        <w:rPr>
          <w:rFonts w:hint="eastAsia" w:ascii="宋体" w:hAnsi="宋体"/>
          <w:b/>
          <w:bCs/>
          <w:sz w:val="24"/>
          <w:szCs w:val="24"/>
        </w:rPr>
        <w:sectPr>
          <w:pgSz w:w="11906" w:h="16838"/>
          <w:pgMar w:top="1440" w:right="1800" w:bottom="1440" w:left="1800" w:header="851" w:footer="992" w:gutter="0"/>
          <w:cols w:space="425" w:num="1"/>
          <w:docGrid w:type="lines" w:linePitch="312" w:charSpace="0"/>
        </w:sectPr>
      </w:pPr>
      <w:r>
        <w:rPr>
          <w:rFonts w:hint="eastAsia" w:ascii="宋体" w:hAnsi="宋体"/>
          <w:b/>
          <w:bCs/>
          <w:sz w:val="24"/>
          <w:szCs w:val="24"/>
        </w:rPr>
        <w:t>日期：2025年7月19日</w:t>
      </w:r>
    </w:p>
    <w:p w14:paraId="6134D93E">
      <w:pPr>
        <w:spacing w:line="360" w:lineRule="auto"/>
        <w:jc w:val="both"/>
        <w:rPr>
          <w:rFonts w:hint="eastAsia" w:ascii="宋体" w:hAnsi="宋体" w:eastAsia="宋体"/>
          <w:b/>
          <w:bCs/>
          <w:sz w:val="24"/>
          <w:szCs w:val="24"/>
          <w:lang w:eastAsia="zh-CN"/>
        </w:rPr>
      </w:pPr>
      <w:r>
        <w:rPr>
          <w:rFonts w:hint="eastAsia" w:ascii="宋体" w:hAnsi="宋体" w:eastAsia="宋体"/>
          <w:b/>
          <w:bCs/>
          <w:sz w:val="24"/>
          <w:szCs w:val="24"/>
          <w:lang w:eastAsia="zh-CN"/>
        </w:rPr>
        <w:drawing>
          <wp:inline distT="0" distB="0" distL="114300" distR="114300">
            <wp:extent cx="8311515" cy="5605780"/>
            <wp:effectExtent l="0" t="0" r="2540" b="9525"/>
            <wp:docPr id="1" name="图片 1" descr="fadf44232e02547d31efabc6fea42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df44232e02547d31efabc6fea428c"/>
                    <pic:cNvPicPr>
                      <a:picLocks noChangeAspect="1"/>
                    </pic:cNvPicPr>
                  </pic:nvPicPr>
                  <pic:blipFill>
                    <a:blip r:embed="rId4"/>
                    <a:stretch>
                      <a:fillRect/>
                    </a:stretch>
                  </pic:blipFill>
                  <pic:spPr>
                    <a:xfrm rot="16200000">
                      <a:off x="0" y="0"/>
                      <a:ext cx="8311515" cy="560578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3C7F4D"/>
    <w:rsid w:val="10507CE0"/>
    <w:rsid w:val="17CF3BE0"/>
    <w:rsid w:val="216D40E2"/>
    <w:rsid w:val="633C3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17"/>
    <w:qFormat/>
    <w:uiPriority w:val="9"/>
    <w:pPr>
      <w:keepNext/>
      <w:keepLines/>
      <w:spacing w:before="480" w:after="80"/>
      <w:outlineLvl w:val="0"/>
    </w:pPr>
    <w:rPr>
      <w:rFonts w:ascii="Cambria" w:hAnsi="Cambria" w:eastAsia="宋体" w:cs="宋体"/>
      <w:color w:val="365F91"/>
      <w:sz w:val="48"/>
      <w:szCs w:val="48"/>
    </w:rPr>
  </w:style>
  <w:style w:type="paragraph" w:styleId="3">
    <w:name w:val="heading 2"/>
    <w:basedOn w:val="1"/>
    <w:next w:val="1"/>
    <w:link w:val="18"/>
    <w:qFormat/>
    <w:uiPriority w:val="9"/>
    <w:pPr>
      <w:keepNext/>
      <w:keepLines/>
      <w:spacing w:before="160" w:after="80"/>
      <w:outlineLvl w:val="1"/>
    </w:pPr>
    <w:rPr>
      <w:rFonts w:ascii="Cambria" w:hAnsi="Cambria" w:eastAsia="宋体" w:cs="宋体"/>
      <w:color w:val="365F91"/>
      <w:sz w:val="40"/>
      <w:szCs w:val="40"/>
    </w:rPr>
  </w:style>
  <w:style w:type="paragraph" w:styleId="4">
    <w:name w:val="heading 3"/>
    <w:basedOn w:val="1"/>
    <w:next w:val="1"/>
    <w:link w:val="19"/>
    <w:qFormat/>
    <w:uiPriority w:val="9"/>
    <w:pPr>
      <w:keepNext/>
      <w:keepLines/>
      <w:spacing w:before="160" w:after="80"/>
      <w:outlineLvl w:val="2"/>
    </w:pPr>
    <w:rPr>
      <w:rFonts w:ascii="Cambria" w:hAnsi="Cambria" w:eastAsia="宋体" w:cs="宋体"/>
      <w:color w:val="365F91"/>
      <w:sz w:val="32"/>
      <w:szCs w:val="32"/>
    </w:rPr>
  </w:style>
  <w:style w:type="paragraph" w:styleId="5">
    <w:name w:val="heading 4"/>
    <w:basedOn w:val="1"/>
    <w:next w:val="1"/>
    <w:link w:val="20"/>
    <w:qFormat/>
    <w:uiPriority w:val="9"/>
    <w:pPr>
      <w:keepNext/>
      <w:keepLines/>
      <w:spacing w:before="80" w:after="40"/>
      <w:outlineLvl w:val="3"/>
    </w:pPr>
    <w:rPr>
      <w:rFonts w:cs="宋体"/>
      <w:color w:val="365F91"/>
      <w:sz w:val="28"/>
      <w:szCs w:val="28"/>
    </w:rPr>
  </w:style>
  <w:style w:type="paragraph" w:styleId="6">
    <w:name w:val="heading 5"/>
    <w:basedOn w:val="1"/>
    <w:next w:val="1"/>
    <w:link w:val="21"/>
    <w:qFormat/>
    <w:uiPriority w:val="9"/>
    <w:pPr>
      <w:keepNext/>
      <w:keepLines/>
      <w:spacing w:before="80" w:after="40"/>
      <w:outlineLvl w:val="4"/>
    </w:pPr>
    <w:rPr>
      <w:rFonts w:cs="宋体"/>
      <w:color w:val="365F91"/>
      <w:sz w:val="24"/>
      <w:szCs w:val="24"/>
    </w:rPr>
  </w:style>
  <w:style w:type="paragraph" w:styleId="7">
    <w:name w:val="heading 6"/>
    <w:basedOn w:val="1"/>
    <w:next w:val="1"/>
    <w:link w:val="22"/>
    <w:qFormat/>
    <w:uiPriority w:val="9"/>
    <w:pPr>
      <w:keepNext/>
      <w:keepLines/>
      <w:spacing w:before="40"/>
      <w:outlineLvl w:val="5"/>
    </w:pPr>
    <w:rPr>
      <w:rFonts w:cs="宋体"/>
      <w:b/>
      <w:bCs/>
      <w:color w:val="365F91"/>
    </w:rPr>
  </w:style>
  <w:style w:type="paragraph" w:styleId="8">
    <w:name w:val="heading 7"/>
    <w:basedOn w:val="1"/>
    <w:next w:val="1"/>
    <w:link w:val="23"/>
    <w:qFormat/>
    <w:uiPriority w:val="9"/>
    <w:pPr>
      <w:keepNext/>
      <w:keepLines/>
      <w:spacing w:before="40"/>
      <w:outlineLvl w:val="6"/>
    </w:pPr>
    <w:rPr>
      <w:rFonts w:cs="宋体"/>
      <w:b/>
      <w:bCs/>
      <w:color w:val="595959"/>
    </w:rPr>
  </w:style>
  <w:style w:type="paragraph" w:styleId="9">
    <w:name w:val="heading 8"/>
    <w:basedOn w:val="1"/>
    <w:next w:val="1"/>
    <w:link w:val="24"/>
    <w:qFormat/>
    <w:uiPriority w:val="9"/>
    <w:pPr>
      <w:keepNext/>
      <w:keepLines/>
      <w:outlineLvl w:val="7"/>
    </w:pPr>
    <w:rPr>
      <w:rFonts w:cs="宋体"/>
      <w:color w:val="595959"/>
    </w:rPr>
  </w:style>
  <w:style w:type="paragraph" w:styleId="10">
    <w:name w:val="heading 9"/>
    <w:basedOn w:val="1"/>
    <w:next w:val="1"/>
    <w:link w:val="25"/>
    <w:qFormat/>
    <w:uiPriority w:val="9"/>
    <w:pPr>
      <w:keepNext/>
      <w:keepLines/>
      <w:outlineLvl w:val="8"/>
    </w:pPr>
    <w:rPr>
      <w:rFonts w:eastAsia="宋体" w:cs="宋体"/>
      <w:color w:val="595959"/>
    </w:rPr>
  </w:style>
  <w:style w:type="character" w:default="1" w:styleId="16">
    <w:name w:val="Default Paragraph Font"/>
    <w:qFormat/>
    <w:uiPriority w:val="1"/>
  </w:style>
  <w:style w:type="table" w:default="1" w:styleId="15">
    <w:name w:val="Normal Table"/>
    <w:qFormat/>
    <w:uiPriority w:val="99"/>
    <w:tblPr>
      <w:tblCellMar>
        <w:top w:w="0" w:type="dxa"/>
        <w:left w:w="108" w:type="dxa"/>
        <w:bottom w:w="0" w:type="dxa"/>
        <w:right w:w="108" w:type="dxa"/>
      </w:tblCellMar>
    </w:tblPr>
  </w:style>
  <w:style w:type="paragraph" w:styleId="11">
    <w:name w:val="footer"/>
    <w:basedOn w:val="1"/>
    <w:link w:val="36"/>
    <w:qFormat/>
    <w:uiPriority w:val="99"/>
    <w:pPr>
      <w:tabs>
        <w:tab w:val="center" w:pos="4153"/>
        <w:tab w:val="right" w:pos="8306"/>
      </w:tabs>
      <w:snapToGrid w:val="0"/>
      <w:jc w:val="left"/>
    </w:pPr>
    <w:rPr>
      <w:sz w:val="18"/>
      <w:szCs w:val="18"/>
    </w:rPr>
  </w:style>
  <w:style w:type="paragraph" w:styleId="12">
    <w:name w:val="header"/>
    <w:basedOn w:val="1"/>
    <w:link w:val="35"/>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numPr>
        <w:ilvl w:val="1"/>
        <w:numId w:val="0"/>
      </w:numPr>
      <w:spacing w:after="160"/>
      <w:jc w:val="center"/>
    </w:pPr>
    <w:rPr>
      <w:rFonts w:ascii="Cambria" w:hAnsi="Cambria" w:eastAsia="宋体" w:cs="宋体"/>
      <w:color w:val="595959"/>
      <w:spacing w:val="15"/>
      <w:sz w:val="28"/>
      <w:szCs w:val="28"/>
    </w:rPr>
  </w:style>
  <w:style w:type="paragraph" w:styleId="14">
    <w:name w:val="Title"/>
    <w:basedOn w:val="1"/>
    <w:next w:val="1"/>
    <w:link w:val="26"/>
    <w:qFormat/>
    <w:uiPriority w:val="10"/>
    <w:pPr>
      <w:spacing w:after="80"/>
      <w:contextualSpacing/>
      <w:jc w:val="center"/>
    </w:pPr>
    <w:rPr>
      <w:rFonts w:ascii="Cambria" w:hAnsi="Cambria" w:eastAsia="宋体" w:cs="宋体"/>
      <w:spacing w:val="-10"/>
      <w:kern w:val="28"/>
      <w:sz w:val="56"/>
      <w:szCs w:val="56"/>
    </w:rPr>
  </w:style>
  <w:style w:type="character" w:customStyle="1" w:styleId="17">
    <w:name w:val="标题 1 Char"/>
    <w:basedOn w:val="16"/>
    <w:link w:val="2"/>
    <w:uiPriority w:val="9"/>
    <w:rPr>
      <w:rFonts w:ascii="Cambria" w:hAnsi="Cambria" w:eastAsia="宋体" w:cs="宋体"/>
      <w:color w:val="365F91"/>
      <w:sz w:val="48"/>
      <w:szCs w:val="48"/>
    </w:rPr>
  </w:style>
  <w:style w:type="character" w:customStyle="1" w:styleId="18">
    <w:name w:val="标题 2 Char"/>
    <w:basedOn w:val="16"/>
    <w:link w:val="3"/>
    <w:uiPriority w:val="9"/>
    <w:rPr>
      <w:rFonts w:ascii="Cambria" w:hAnsi="Cambria" w:eastAsia="宋体" w:cs="宋体"/>
      <w:color w:val="365F91"/>
      <w:sz w:val="40"/>
      <w:szCs w:val="40"/>
    </w:rPr>
  </w:style>
  <w:style w:type="character" w:customStyle="1" w:styleId="19">
    <w:name w:val="标题 3 Char"/>
    <w:basedOn w:val="16"/>
    <w:link w:val="4"/>
    <w:qFormat/>
    <w:uiPriority w:val="9"/>
    <w:rPr>
      <w:rFonts w:ascii="Cambria" w:hAnsi="Cambria" w:eastAsia="宋体" w:cs="宋体"/>
      <w:color w:val="365F91"/>
      <w:sz w:val="32"/>
      <w:szCs w:val="32"/>
    </w:rPr>
  </w:style>
  <w:style w:type="character" w:customStyle="1" w:styleId="20">
    <w:name w:val="标题 4 Char"/>
    <w:basedOn w:val="16"/>
    <w:link w:val="5"/>
    <w:qFormat/>
    <w:uiPriority w:val="9"/>
    <w:rPr>
      <w:rFonts w:cs="宋体"/>
      <w:color w:val="365F91"/>
      <w:sz w:val="28"/>
      <w:szCs w:val="28"/>
    </w:rPr>
  </w:style>
  <w:style w:type="character" w:customStyle="1" w:styleId="21">
    <w:name w:val="标题 5 Char"/>
    <w:basedOn w:val="16"/>
    <w:link w:val="6"/>
    <w:qFormat/>
    <w:uiPriority w:val="9"/>
    <w:rPr>
      <w:rFonts w:cs="宋体"/>
      <w:color w:val="365F91"/>
      <w:sz w:val="24"/>
      <w:szCs w:val="24"/>
    </w:rPr>
  </w:style>
  <w:style w:type="character" w:customStyle="1" w:styleId="22">
    <w:name w:val="标题 6 Char"/>
    <w:basedOn w:val="16"/>
    <w:link w:val="7"/>
    <w:uiPriority w:val="9"/>
    <w:rPr>
      <w:rFonts w:cs="宋体"/>
      <w:b/>
      <w:bCs/>
      <w:color w:val="365F91"/>
    </w:rPr>
  </w:style>
  <w:style w:type="character" w:customStyle="1" w:styleId="23">
    <w:name w:val="标题 7 Char"/>
    <w:basedOn w:val="16"/>
    <w:link w:val="8"/>
    <w:qFormat/>
    <w:uiPriority w:val="9"/>
    <w:rPr>
      <w:rFonts w:cs="宋体"/>
      <w:b/>
      <w:bCs/>
      <w:color w:val="595959"/>
    </w:rPr>
  </w:style>
  <w:style w:type="character" w:customStyle="1" w:styleId="24">
    <w:name w:val="标题 8 Char"/>
    <w:basedOn w:val="16"/>
    <w:link w:val="9"/>
    <w:uiPriority w:val="9"/>
    <w:rPr>
      <w:rFonts w:cs="宋体"/>
      <w:color w:val="595959"/>
    </w:rPr>
  </w:style>
  <w:style w:type="character" w:customStyle="1" w:styleId="25">
    <w:name w:val="标题 9 Char"/>
    <w:basedOn w:val="16"/>
    <w:link w:val="10"/>
    <w:uiPriority w:val="9"/>
    <w:rPr>
      <w:rFonts w:eastAsia="宋体" w:cs="宋体"/>
      <w:color w:val="595959"/>
    </w:rPr>
  </w:style>
  <w:style w:type="character" w:customStyle="1" w:styleId="26">
    <w:name w:val="标题 Char"/>
    <w:basedOn w:val="16"/>
    <w:link w:val="14"/>
    <w:qFormat/>
    <w:uiPriority w:val="10"/>
    <w:rPr>
      <w:rFonts w:ascii="Cambria" w:hAnsi="Cambria" w:eastAsia="宋体" w:cs="宋体"/>
      <w:spacing w:val="-10"/>
      <w:kern w:val="28"/>
      <w:sz w:val="56"/>
      <w:szCs w:val="56"/>
    </w:rPr>
  </w:style>
  <w:style w:type="character" w:customStyle="1" w:styleId="27">
    <w:name w:val="副标题 Char"/>
    <w:basedOn w:val="16"/>
    <w:link w:val="13"/>
    <w:qFormat/>
    <w:uiPriority w:val="11"/>
    <w:rPr>
      <w:rFonts w:ascii="Cambria" w:hAnsi="Cambria" w:eastAsia="宋体" w:cs="宋体"/>
      <w:color w:val="595959"/>
      <w:spacing w:val="15"/>
      <w:sz w:val="28"/>
      <w:szCs w:val="28"/>
    </w:rPr>
  </w:style>
  <w:style w:type="paragraph" w:styleId="28">
    <w:name w:val="Quote"/>
    <w:basedOn w:val="1"/>
    <w:next w:val="1"/>
    <w:link w:val="29"/>
    <w:qFormat/>
    <w:uiPriority w:val="29"/>
    <w:pPr>
      <w:spacing w:before="160" w:after="160"/>
      <w:jc w:val="center"/>
    </w:pPr>
    <w:rPr>
      <w:i/>
      <w:iCs/>
      <w:color w:val="404040"/>
    </w:rPr>
  </w:style>
  <w:style w:type="character" w:customStyle="1" w:styleId="29">
    <w:name w:val="引用 Char"/>
    <w:basedOn w:val="16"/>
    <w:link w:val="28"/>
    <w:uiPriority w:val="29"/>
    <w:rPr>
      <w:i/>
      <w:iCs/>
      <w:color w:val="404040"/>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365F91"/>
    </w:rPr>
  </w:style>
  <w:style w:type="paragraph" w:styleId="32">
    <w:name w:val="Intense Quote"/>
    <w:basedOn w:val="1"/>
    <w:next w:val="1"/>
    <w:link w:val="33"/>
    <w:qFormat/>
    <w:uiPriority w:val="30"/>
    <w:pPr>
      <w:pBdr>
        <w:top w:val="single" w:color="365F91" w:sz="4" w:space="10"/>
        <w:bottom w:val="single" w:color="365F91" w:sz="4" w:space="10"/>
      </w:pBdr>
      <w:spacing w:before="360" w:after="360"/>
      <w:ind w:left="864" w:right="864"/>
      <w:jc w:val="center"/>
    </w:pPr>
    <w:rPr>
      <w:i/>
      <w:iCs/>
      <w:color w:val="365F91"/>
    </w:rPr>
  </w:style>
  <w:style w:type="character" w:customStyle="1" w:styleId="33">
    <w:name w:val="明显引用 Char"/>
    <w:basedOn w:val="16"/>
    <w:link w:val="32"/>
    <w:qFormat/>
    <w:uiPriority w:val="30"/>
    <w:rPr>
      <w:i/>
      <w:iCs/>
      <w:color w:val="365F91"/>
    </w:rPr>
  </w:style>
  <w:style w:type="character" w:customStyle="1" w:styleId="34">
    <w:name w:val="Intense Reference"/>
    <w:basedOn w:val="16"/>
    <w:qFormat/>
    <w:uiPriority w:val="32"/>
    <w:rPr>
      <w:b/>
      <w:bCs/>
      <w:smallCaps/>
      <w:color w:val="365F91"/>
      <w:spacing w:val="5"/>
    </w:rPr>
  </w:style>
  <w:style w:type="character" w:customStyle="1" w:styleId="35">
    <w:name w:val="页眉 Char"/>
    <w:basedOn w:val="16"/>
    <w:link w:val="12"/>
    <w:uiPriority w:val="99"/>
    <w:rPr>
      <w:sz w:val="18"/>
      <w:szCs w:val="18"/>
    </w:rPr>
  </w:style>
  <w:style w:type="character" w:customStyle="1" w:styleId="36">
    <w:name w:val="页脚 Char"/>
    <w:basedOn w:val="16"/>
    <w:link w:val="11"/>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2012</Words>
  <Characters>2163</Characters>
  <Paragraphs>46</Paragraphs>
  <TotalTime>95</TotalTime>
  <ScaleCrop>false</ScaleCrop>
  <LinksUpToDate>false</LinksUpToDate>
  <CharactersWithSpaces>2246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2025-07-19T12:24:00Z</dcterms:created>
  <dc:creator>大大 李</dc:creator>
  <cp:lastModifiedBy>#时间魔诺</cp:lastModifiedBy>
  <dcterms:modified xsi:type="dcterms:W3CDTF">2025-07-22T08:53:14Z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B357E0E8411F4906A4FD498FA172F2AE_13</vt:lpwstr>
  </property>
  <property fmtid="{D5CDD505-2E9C-101B-9397-08002B2CF9AE}" pid="3" name="KSOTemplateDocerSaveRecord">
    <vt:lpwstr>eyJoZGlkIjoiN2FlZGMxOTc4OTE4OTk3MTZjMmI1MmEwZDJiNzljMTUiLCJ1c2VySWQiOiIyNTE2MTQ1MTcifQ==</vt:lpwstr>
  </property>
  <property fmtid="{D5CDD505-2E9C-101B-9397-08002B2CF9AE}" pid="4" name="KSOProductBuildVer">
    <vt:lpwstr>2052-12.1.0.21915</vt:lpwstr>
  </property>
</Properties>
</file>